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3" w14:textId="2A6FD3D6" w:rsidR="008A7E17" w:rsidRDefault="00045FDE">
      <w:pPr>
        <w:pStyle w:val="3"/>
        <w:spacing w:before="120" w:after="120" w:line="275" w:lineRule="auto"/>
        <w:rPr>
          <w:color w:val="1F1F1F"/>
        </w:rPr>
      </w:pPr>
      <w:bookmarkStart w:id="0" w:name="_GoBack"/>
      <w:bookmarkEnd w:id="0"/>
      <w:r>
        <w:rPr>
          <w:rFonts w:eastAsia="Arial"/>
          <w:color w:val="1F1F1F"/>
        </w:rPr>
        <w:t>Inclusion and Exclusion Criteria</w:t>
      </w:r>
    </w:p>
    <w:p w14:paraId="00000004" w14:textId="77777777" w:rsidR="008A7E17" w:rsidRDefault="00045FDE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rPr>
          <w:b/>
          <w:bCs/>
          <w:color w:val="1F1F1F"/>
        </w:rPr>
      </w:pPr>
      <w:r>
        <w:rPr>
          <w:rFonts w:eastAsia="Arial"/>
          <w:b/>
          <w:bCs/>
          <w:color w:val="1F1F1F"/>
        </w:rPr>
        <w:t>Inclusion Criteria:</w:t>
      </w:r>
    </w:p>
    <w:p w14:paraId="00000005" w14:textId="77777777" w:rsidR="008A7E17" w:rsidRDefault="00045FD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eastAsia="Arial"/>
          <w:b/>
          <w:bCs/>
          <w:color w:val="1F1F1F"/>
        </w:rPr>
        <w:t>Young Group:</w:t>
      </w:r>
      <w:r>
        <w:rPr>
          <w:rFonts w:eastAsia="Arial"/>
          <w:color w:val="1F1F1F"/>
        </w:rPr>
        <w:t xml:space="preserve"> Female patients (aged 18–45 years) admitted with traumatic </w:t>
      </w:r>
      <w:r>
        <w:rPr>
          <w:rFonts w:eastAsia="Arial"/>
          <w:b/>
          <w:bCs/>
          <w:color w:val="1F1F1F"/>
        </w:rPr>
        <w:t>femoral shaft fractures</w:t>
      </w:r>
      <w:r>
        <w:rPr>
          <w:rFonts w:eastAsia="Arial"/>
          <w:color w:val="1F1F1F"/>
        </w:rPr>
        <w:t xml:space="preserve"> confirmed by X-ray or CT.</w:t>
      </w:r>
      <w:r>
        <w:rPr>
          <w:rFonts w:eastAsia="Arial"/>
          <w:color w:val="000000"/>
        </w:rPr>
        <w:br/>
      </w:r>
    </w:p>
    <w:p w14:paraId="00000006" w14:textId="3E0498B4" w:rsidR="008A7E17" w:rsidRDefault="00045FD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eastAsia="Arial"/>
          <w:b/>
          <w:bCs/>
          <w:color w:val="1F1F1F"/>
        </w:rPr>
        <w:t>Elderly OP Group:</w:t>
      </w:r>
      <w:r>
        <w:rPr>
          <w:rFonts w:eastAsia="Arial"/>
          <w:color w:val="1F1F1F"/>
        </w:rPr>
        <w:t xml:space="preserve"> Female patients (aged </w:t>
      </w:r>
      <w:r w:rsidR="000455F9">
        <w:rPr>
          <w:rFonts w:ascii="宋体" w:eastAsia="宋体" w:hAnsi="宋体" w:cs="宋体" w:hint="eastAsia"/>
          <w:color w:val="1F1F1F"/>
        </w:rPr>
        <w:t>≥</w:t>
      </w:r>
      <w:r>
        <w:rPr>
          <w:rFonts w:eastAsia="Arial"/>
          <w:color w:val="1F1F1F"/>
        </w:rPr>
        <w:t xml:space="preserve"> 65 years) diagnosed with </w:t>
      </w:r>
      <w:r>
        <w:rPr>
          <w:rFonts w:eastAsia="Arial"/>
          <w:b/>
          <w:bCs/>
          <w:color w:val="1F1F1F"/>
        </w:rPr>
        <w:t>osteoporosis</w:t>
      </w:r>
      <w:r>
        <w:rPr>
          <w:rFonts w:eastAsia="Arial"/>
          <w:color w:val="1F1F1F"/>
        </w:rPr>
        <w:t xml:space="preserve"> (T-score </w:t>
      </w:r>
      <w:r w:rsidR="000455F9">
        <w:rPr>
          <w:rFonts w:asciiTheme="minorEastAsia" w:hAnsiTheme="minorEastAsia" w:hint="eastAsia"/>
          <w:color w:val="1F1F1F"/>
        </w:rPr>
        <w:t>≤</w:t>
      </w:r>
      <w:r>
        <w:rPr>
          <w:rFonts w:eastAsia="Arial"/>
          <w:color w:val="1F1F1F"/>
        </w:rPr>
        <w:t xml:space="preserve"> -2.5) who sustained low-energy hip fractures (femoral neck or intertrochanteric fractures).</w:t>
      </w:r>
      <w:r>
        <w:rPr>
          <w:rFonts w:eastAsia="Arial"/>
          <w:color w:val="000000"/>
        </w:rPr>
        <w:br/>
      </w:r>
    </w:p>
    <w:p w14:paraId="00000007" w14:textId="516311D3" w:rsidR="008A7E17" w:rsidRDefault="00045FD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eastAsia="Arial"/>
          <w:b/>
          <w:bCs/>
          <w:color w:val="1F1F1F"/>
        </w:rPr>
        <w:t>Time of Sampling:</w:t>
      </w:r>
      <w:r>
        <w:rPr>
          <w:rFonts w:eastAsia="Arial"/>
          <w:color w:val="1F1F1F"/>
        </w:rPr>
        <w:t xml:space="preserve"> All venous blood samples were collected strictly within </w:t>
      </w:r>
      <w:r>
        <w:rPr>
          <w:rFonts w:eastAsia="Arial"/>
          <w:b/>
          <w:bCs/>
          <w:color w:val="1F1F1F"/>
        </w:rPr>
        <w:t>5 hours post-injury</w:t>
      </w:r>
      <w:r>
        <w:rPr>
          <w:rFonts w:eastAsia="Arial"/>
          <w:color w:val="1F1F1F"/>
        </w:rPr>
        <w:t xml:space="preserve"> to minimize the impact of systemic inflammatory responses on hematological markers.</w:t>
      </w:r>
      <w:r>
        <w:rPr>
          <w:rFonts w:eastAsia="Arial"/>
          <w:color w:val="000000"/>
        </w:rPr>
        <w:br/>
      </w:r>
    </w:p>
    <w:p w14:paraId="00000008" w14:textId="77777777" w:rsidR="008A7E17" w:rsidRDefault="00045FD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eastAsia="Arial"/>
          <w:b/>
          <w:bCs/>
          <w:color w:val="1F1F1F"/>
        </w:rPr>
        <w:t>Informed Consent:</w:t>
      </w:r>
      <w:r>
        <w:rPr>
          <w:rFonts w:eastAsia="Arial"/>
          <w:color w:val="1F1F1F"/>
        </w:rPr>
        <w:t xml:space="preserve"> All participants or their legal guardians provided written informed consent prior to enrollment.</w:t>
      </w:r>
      <w:r>
        <w:rPr>
          <w:rFonts w:eastAsia="Arial"/>
          <w:color w:val="000000"/>
        </w:rPr>
        <w:br/>
      </w:r>
    </w:p>
    <w:p w14:paraId="00000009" w14:textId="77777777" w:rsidR="008A7E17" w:rsidRDefault="00045FDE">
      <w:pPr>
        <w:pBdr>
          <w:top w:val="nil"/>
          <w:left w:val="nil"/>
          <w:bottom w:val="nil"/>
          <w:right w:val="nil"/>
          <w:between w:val="nil"/>
        </w:pBdr>
        <w:spacing w:before="240" w:after="150" w:line="275" w:lineRule="auto"/>
        <w:rPr>
          <w:b/>
          <w:bCs/>
          <w:color w:val="1F1F1F"/>
        </w:rPr>
      </w:pPr>
      <w:r>
        <w:rPr>
          <w:rFonts w:eastAsia="Arial"/>
          <w:b/>
          <w:bCs/>
          <w:color w:val="1F1F1F"/>
        </w:rPr>
        <w:t>Exclusion Criteria:</w:t>
      </w:r>
    </w:p>
    <w:p w14:paraId="0000000A" w14:textId="60AF9CB9" w:rsidR="008A7E17" w:rsidRDefault="00045FDE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rPr>
          <w:color w:val="1F1F1F"/>
        </w:rPr>
      </w:pPr>
      <w:r>
        <w:rPr>
          <w:rFonts w:eastAsia="Arial"/>
          <w:color w:val="1F1F1F"/>
        </w:rPr>
        <w:t>To eliminate confounding factors affecting bone metabolism, patients meeting any of the following criteria were excluded:</w:t>
      </w:r>
    </w:p>
    <w:p w14:paraId="0000000B" w14:textId="77777777" w:rsidR="008A7E17" w:rsidRDefault="00045FD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eastAsia="Arial"/>
          <w:b/>
          <w:bCs/>
          <w:color w:val="1F1F1F"/>
        </w:rPr>
        <w:t>Pre-existing Chronic Diseases:</w:t>
      </w:r>
      <w:r>
        <w:rPr>
          <w:rFonts w:eastAsia="Arial"/>
          <w:color w:val="1F1F1F"/>
        </w:rPr>
        <w:t xml:space="preserve"> Patients with a history of hypertension, diabetes mellitus, coronary heart disease, or cerebral infarction.</w:t>
      </w:r>
      <w:r>
        <w:rPr>
          <w:rFonts w:eastAsia="Arial"/>
          <w:color w:val="000000"/>
        </w:rPr>
        <w:br/>
      </w:r>
    </w:p>
    <w:p w14:paraId="0000000C" w14:textId="77777777" w:rsidR="008A7E17" w:rsidRDefault="00045FD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eastAsia="Arial"/>
          <w:b/>
          <w:bCs/>
          <w:color w:val="1F1F1F"/>
        </w:rPr>
        <w:t>Endocrine &amp; Metabolic Disorders:</w:t>
      </w:r>
      <w:r>
        <w:rPr>
          <w:rFonts w:eastAsia="Arial"/>
          <w:color w:val="1F1F1F"/>
        </w:rPr>
        <w:t xml:space="preserve"> Any history of parathyroid or thyroid dysfunction, Paget’s disease, or severe renal insufficiency.</w:t>
      </w:r>
      <w:r>
        <w:rPr>
          <w:rFonts w:eastAsia="Arial"/>
          <w:color w:val="000000"/>
        </w:rPr>
        <w:br/>
      </w:r>
    </w:p>
    <w:p w14:paraId="0000000D" w14:textId="77777777" w:rsidR="008A7E17" w:rsidRDefault="00045FD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eastAsia="Arial"/>
          <w:b/>
          <w:bCs/>
          <w:color w:val="1F1F1F"/>
        </w:rPr>
        <w:t>Medication History:</w:t>
      </w:r>
      <w:r>
        <w:rPr>
          <w:rFonts w:eastAsia="Arial"/>
          <w:color w:val="1F1F1F"/>
        </w:rPr>
        <w:t xml:space="preserve"> Use of medications known to affect bone metabolism (e.g., bisphosphonates, denosumab, teriparatide, or long-term glucocorticoids) within the past 12 months.</w:t>
      </w:r>
      <w:r>
        <w:rPr>
          <w:rFonts w:eastAsia="Arial"/>
          <w:color w:val="000000"/>
        </w:rPr>
        <w:br/>
      </w:r>
    </w:p>
    <w:p w14:paraId="0000000E" w14:textId="77777777" w:rsidR="008A7E17" w:rsidRDefault="00045FD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eastAsia="Arial"/>
          <w:b/>
          <w:bCs/>
          <w:color w:val="1F1F1F"/>
        </w:rPr>
        <w:t>Malignancies:</w:t>
      </w:r>
      <w:r>
        <w:rPr>
          <w:rFonts w:eastAsia="Arial"/>
          <w:color w:val="1F1F1F"/>
        </w:rPr>
        <w:t xml:space="preserve"> History of primary bone tumors or metastatic bone disease.</w:t>
      </w:r>
      <w:r>
        <w:rPr>
          <w:rFonts w:eastAsia="Arial"/>
          <w:color w:val="000000"/>
        </w:rPr>
        <w:br/>
      </w:r>
    </w:p>
    <w:p w14:paraId="0000000F" w14:textId="77777777" w:rsidR="008A7E17" w:rsidRDefault="00045FD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eastAsia="Arial"/>
          <w:b/>
          <w:bCs/>
          <w:color w:val="1F1F1F"/>
        </w:rPr>
        <w:t>Other:</w:t>
      </w:r>
      <w:r>
        <w:rPr>
          <w:rFonts w:eastAsia="Arial"/>
          <w:color w:val="1F1F1F"/>
        </w:rPr>
        <w:t xml:space="preserve"> Heavy smoking, excessive alcohol consumption, or secondary osteoporosis caused by other systemic diseases.</w:t>
      </w:r>
    </w:p>
    <w:p w14:paraId="00000014" w14:textId="4C1C5393" w:rsidR="008A7E17" w:rsidRDefault="008A7E17">
      <w:pPr>
        <w:pBdr>
          <w:top w:val="nil"/>
          <w:left w:val="nil"/>
          <w:bottom w:val="nil"/>
          <w:right w:val="nil"/>
          <w:between w:val="nil"/>
        </w:pBdr>
        <w:spacing w:before="240" w:after="150" w:line="275" w:lineRule="auto"/>
        <w:rPr>
          <w:color w:val="1F1F1F"/>
        </w:rPr>
      </w:pPr>
    </w:p>
    <w:p w14:paraId="75BF1D98" w14:textId="3FDF3F56" w:rsidR="000455F9" w:rsidRDefault="000455F9">
      <w:pPr>
        <w:pBdr>
          <w:top w:val="nil"/>
          <w:left w:val="nil"/>
          <w:bottom w:val="nil"/>
          <w:right w:val="nil"/>
          <w:between w:val="nil"/>
        </w:pBdr>
        <w:spacing w:before="240" w:after="150" w:line="275" w:lineRule="auto"/>
        <w:rPr>
          <w:color w:val="1F1F1F"/>
        </w:rPr>
      </w:pPr>
    </w:p>
    <w:p w14:paraId="728DAE77" w14:textId="406AFE78" w:rsidR="000455F9" w:rsidRDefault="000455F9">
      <w:pPr>
        <w:pBdr>
          <w:top w:val="nil"/>
          <w:left w:val="nil"/>
          <w:bottom w:val="nil"/>
          <w:right w:val="nil"/>
          <w:between w:val="nil"/>
        </w:pBdr>
        <w:spacing w:before="240" w:after="150" w:line="275" w:lineRule="auto"/>
        <w:rPr>
          <w:color w:val="1F1F1F"/>
        </w:rPr>
      </w:pPr>
    </w:p>
    <w:p w14:paraId="63B12984" w14:textId="095566E0" w:rsidR="000455F9" w:rsidRDefault="000455F9">
      <w:pPr>
        <w:pBdr>
          <w:top w:val="nil"/>
          <w:left w:val="nil"/>
          <w:bottom w:val="nil"/>
          <w:right w:val="nil"/>
          <w:between w:val="nil"/>
        </w:pBdr>
        <w:spacing w:before="240" w:after="150" w:line="275" w:lineRule="auto"/>
        <w:rPr>
          <w:color w:val="1F1F1F"/>
        </w:rPr>
      </w:pPr>
    </w:p>
    <w:p w14:paraId="2C584A3C" w14:textId="520A7CF6" w:rsidR="0051663A" w:rsidRDefault="0051663A" w:rsidP="00045FDE">
      <w:pPr>
        <w:pBdr>
          <w:top w:val="nil"/>
          <w:left w:val="nil"/>
          <w:bottom w:val="nil"/>
          <w:right w:val="nil"/>
          <w:between w:val="nil"/>
        </w:pBdr>
        <w:spacing w:before="240" w:after="150" w:line="275" w:lineRule="auto"/>
        <w:jc w:val="center"/>
        <w:rPr>
          <w:color w:val="1F1F1F"/>
        </w:rPr>
      </w:pPr>
      <w:r>
        <w:rPr>
          <w:rFonts w:eastAsia="宋体"/>
          <w:color w:val="000000"/>
          <w:sz w:val="20"/>
          <w:szCs w:val="20"/>
        </w:rPr>
        <w:lastRenderedPageBreak/>
        <w:t>T</w:t>
      </w:r>
      <w:r>
        <w:rPr>
          <w:rFonts w:eastAsia="宋体" w:hint="eastAsia"/>
          <w:color w:val="000000"/>
          <w:sz w:val="20"/>
          <w:szCs w:val="20"/>
        </w:rPr>
        <w:t>able</w:t>
      </w:r>
      <w:r>
        <w:rPr>
          <w:rFonts w:eastAsia="宋体"/>
          <w:color w:val="000000"/>
          <w:sz w:val="20"/>
          <w:szCs w:val="20"/>
        </w:rPr>
        <w:t>1 C</w:t>
      </w:r>
      <w:r>
        <w:rPr>
          <w:rFonts w:eastAsia="宋体" w:hint="eastAsia"/>
          <w:color w:val="000000"/>
          <w:sz w:val="20"/>
          <w:szCs w:val="20"/>
        </w:rPr>
        <w:t>linical</w:t>
      </w:r>
      <w:r>
        <w:rPr>
          <w:rFonts w:eastAsia="宋体"/>
          <w:color w:val="000000"/>
          <w:sz w:val="20"/>
          <w:szCs w:val="20"/>
        </w:rPr>
        <w:t xml:space="preserve"> </w:t>
      </w:r>
      <w:r>
        <w:rPr>
          <w:rFonts w:eastAsia="宋体" w:hint="eastAsia"/>
          <w:color w:val="000000"/>
          <w:sz w:val="20"/>
          <w:szCs w:val="20"/>
        </w:rPr>
        <w:t>p</w:t>
      </w:r>
      <w:r w:rsidRPr="000455F9">
        <w:rPr>
          <w:rFonts w:eastAsia="宋体"/>
          <w:color w:val="000000"/>
          <w:sz w:val="20"/>
          <w:szCs w:val="20"/>
        </w:rPr>
        <w:t>arameters</w:t>
      </w:r>
      <w:r>
        <w:rPr>
          <w:rFonts w:eastAsia="宋体"/>
          <w:color w:val="000000"/>
          <w:sz w:val="20"/>
          <w:szCs w:val="20"/>
        </w:rPr>
        <w:t xml:space="preserve"> </w:t>
      </w:r>
      <w:r>
        <w:rPr>
          <w:rFonts w:eastAsia="宋体" w:hint="eastAsia"/>
          <w:color w:val="000000"/>
          <w:sz w:val="20"/>
          <w:szCs w:val="20"/>
        </w:rPr>
        <w:t>of</w:t>
      </w:r>
      <w:r>
        <w:rPr>
          <w:rFonts w:eastAsia="宋体"/>
          <w:color w:val="000000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human sample</w:t>
      </w:r>
      <w:r>
        <w:rPr>
          <w:rFonts w:ascii="Times New Roman" w:hAnsi="Times New Roman" w:cs="Times New Roman" w:hint="eastAsia"/>
          <w:sz w:val="24"/>
          <w:szCs w:val="24"/>
          <w:shd w:val="clear" w:color="auto" w:fill="FFFFFF"/>
        </w:rPr>
        <w:t>s</w:t>
      </w:r>
    </w:p>
    <w:tbl>
      <w:tblPr>
        <w:tblW w:w="9914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954"/>
        <w:gridCol w:w="2180"/>
        <w:gridCol w:w="2500"/>
        <w:gridCol w:w="2280"/>
      </w:tblGrid>
      <w:tr w:rsidR="000455F9" w:rsidRPr="000455F9" w14:paraId="69670EBA" w14:textId="77777777" w:rsidTr="000455F9">
        <w:trPr>
          <w:trHeight w:val="315"/>
        </w:trPr>
        <w:tc>
          <w:tcPr>
            <w:tcW w:w="2954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14988" w14:textId="5BA89B42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</w:p>
        </w:tc>
        <w:tc>
          <w:tcPr>
            <w:tcW w:w="2180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EB815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Young Women (n=5)</w:t>
            </w:r>
          </w:p>
        </w:tc>
        <w:tc>
          <w:tcPr>
            <w:tcW w:w="2500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8B0A7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Elderly OP Women (n=5)</w:t>
            </w:r>
          </w:p>
        </w:tc>
        <w:tc>
          <w:tcPr>
            <w:tcW w:w="2280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DEB41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P value</w:t>
            </w:r>
          </w:p>
        </w:tc>
      </w:tr>
      <w:tr w:rsidR="000455F9" w:rsidRPr="000455F9" w14:paraId="26EFFC15" w14:textId="77777777" w:rsidTr="000455F9">
        <w:trPr>
          <w:trHeight w:val="315"/>
        </w:trPr>
        <w:tc>
          <w:tcPr>
            <w:tcW w:w="2954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CE7E9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Demographics</w:t>
            </w:r>
          </w:p>
        </w:tc>
        <w:tc>
          <w:tcPr>
            <w:tcW w:w="218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9B687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</w:p>
        </w:tc>
        <w:tc>
          <w:tcPr>
            <w:tcW w:w="250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C2D91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CC2F4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55F9" w:rsidRPr="000455F9" w14:paraId="31AB2268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5FA68B9E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Age (years)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13470C03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32.4 ± 5.8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27A479E0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74.2 ± 6.5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6BE45559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&lt; 0.001</w:t>
            </w:r>
          </w:p>
        </w:tc>
      </w:tr>
      <w:tr w:rsidR="000455F9" w:rsidRPr="000455F9" w14:paraId="63C01E96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0D53B8FD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BMI (kg/m^2)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5FEC8724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22.8 ± 2.1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100969FD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21.5 ± 2.4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5433D6B1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0.384</w:t>
            </w:r>
          </w:p>
        </w:tc>
      </w:tr>
      <w:tr w:rsidR="000455F9" w:rsidRPr="000455F9" w14:paraId="1F37DDD9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5C625BF9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Nutritional &amp; Metabolic Indicators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446F467C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7BEFD384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3A92724E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55F9" w:rsidRPr="000455F9" w14:paraId="78062C8B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3D469A8F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Albumin (g/L)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58A439C9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42.6 ± 3.2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2F49CC0E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39.8 ± 3.5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3D260E7A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0.215</w:t>
            </w:r>
          </w:p>
        </w:tc>
      </w:tr>
      <w:tr w:rsidR="000455F9" w:rsidRPr="000455F9" w14:paraId="4E9BDCAA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1FE7C29D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Serum calcium (mmol/L)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1921CD17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2.42 ± 0.11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40C5ACD8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2.35 ± 0.14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7A84AADD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0.402</w:t>
            </w:r>
          </w:p>
        </w:tc>
      </w:tr>
      <w:tr w:rsidR="000455F9" w:rsidRPr="000455F9" w14:paraId="021D4081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4C6D53AD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25(OH)D (ng/mL)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192FFF99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28.5 ± 4.2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616D4BB3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16.2 ± 3.8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38FDF7EE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0.002</w:t>
            </w:r>
          </w:p>
        </w:tc>
      </w:tr>
      <w:tr w:rsidR="000455F9" w:rsidRPr="000455F9" w14:paraId="2517463A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37403C93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Bone Mineral Density (BMD)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3660B796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376FBA5A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544CE5C3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55F9" w:rsidRPr="000455F9" w14:paraId="157247EA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08EDF77D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Lumbar spine (L1-L4, g/cm^2)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2C3C36C6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1.08 ± 0.12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1D0E24E5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0.72 ± 0.08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42AA2C4C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&lt; 0.001</w:t>
            </w:r>
          </w:p>
        </w:tc>
      </w:tr>
      <w:tr w:rsidR="000455F9" w:rsidRPr="000455F9" w14:paraId="6E8E0969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5C3D897D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Total Hip (g/cm^2)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3FD06411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0.94 ± 0.09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389BA9FB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0.61 ± 0.07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46D4D8CD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&lt; 0.001</w:t>
            </w:r>
          </w:p>
        </w:tc>
      </w:tr>
      <w:tr w:rsidR="000455F9" w:rsidRPr="000455F9" w14:paraId="7A9BBE98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5A0BF249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T-score (Lowest)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175ABF27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0.2 ± 0.5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0F63EC79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-3.1 ± 0.4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0773A55E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&lt; 0.001</w:t>
            </w:r>
          </w:p>
        </w:tc>
      </w:tr>
      <w:tr w:rsidR="000455F9" w:rsidRPr="000455F9" w14:paraId="35CD6560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43EBB6F1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Fracture Classification (n)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44D620C7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65B45B57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53210BC5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55F9" w:rsidRPr="000455F9" w14:paraId="5DA70995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23B6E16E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Femoral shaft fracture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39F2EC5D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5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3762767D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576876EB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-</w:t>
            </w:r>
          </w:p>
        </w:tc>
      </w:tr>
      <w:tr w:rsidR="000455F9" w:rsidRPr="000455F9" w14:paraId="70297AF4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6C278EC4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Femoral neck fracture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449CD5C9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4FC25F1A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3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6EC7558A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-</w:t>
            </w:r>
          </w:p>
        </w:tc>
      </w:tr>
      <w:tr w:rsidR="000455F9" w:rsidRPr="000455F9" w14:paraId="1C44FCF7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025ECB2B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Intertrochanteric fracture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09A4F316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</w:t>
            </w: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180E4AE5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2</w:t>
            </w: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775BEAA0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-</w:t>
            </w:r>
          </w:p>
        </w:tc>
      </w:tr>
      <w:tr w:rsidR="000455F9" w:rsidRPr="000455F9" w14:paraId="7254E328" w14:textId="77777777" w:rsidTr="000455F9">
        <w:trPr>
          <w:trHeight w:val="315"/>
        </w:trPr>
        <w:tc>
          <w:tcPr>
            <w:tcW w:w="2954" w:type="dxa"/>
            <w:shd w:val="clear" w:color="auto" w:fill="auto"/>
            <w:noWrap/>
            <w:vAlign w:val="bottom"/>
            <w:hideMark/>
          </w:tcPr>
          <w:p w14:paraId="1DA96321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Bone Turnover Markers</w:t>
            </w:r>
          </w:p>
        </w:tc>
        <w:tc>
          <w:tcPr>
            <w:tcW w:w="2180" w:type="dxa"/>
            <w:shd w:val="clear" w:color="auto" w:fill="auto"/>
            <w:noWrap/>
            <w:vAlign w:val="bottom"/>
            <w:hideMark/>
          </w:tcPr>
          <w:p w14:paraId="064CA2D6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</w:p>
        </w:tc>
        <w:tc>
          <w:tcPr>
            <w:tcW w:w="2500" w:type="dxa"/>
            <w:shd w:val="clear" w:color="auto" w:fill="auto"/>
            <w:noWrap/>
            <w:vAlign w:val="bottom"/>
            <w:hideMark/>
          </w:tcPr>
          <w:p w14:paraId="450FA7E9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shd w:val="clear" w:color="auto" w:fill="auto"/>
            <w:noWrap/>
            <w:vAlign w:val="bottom"/>
            <w:hideMark/>
          </w:tcPr>
          <w:p w14:paraId="04A96A05" w14:textId="77777777" w:rsidR="000455F9" w:rsidRPr="000455F9" w:rsidRDefault="000455F9" w:rsidP="000455F9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455F9" w:rsidRPr="000455F9" w14:paraId="6D74E014" w14:textId="77777777" w:rsidTr="000455F9">
        <w:trPr>
          <w:trHeight w:val="315"/>
        </w:trPr>
        <w:tc>
          <w:tcPr>
            <w:tcW w:w="2954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3D9B6F37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P1NP (ng/mL)</w:t>
            </w:r>
          </w:p>
        </w:tc>
        <w:tc>
          <w:tcPr>
            <w:tcW w:w="2180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0F066A39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35.4 ± 8.6</w:t>
            </w:r>
          </w:p>
        </w:tc>
        <w:tc>
          <w:tcPr>
            <w:tcW w:w="2500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0425CD00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58.2 ± 12.4</w:t>
            </w:r>
          </w:p>
        </w:tc>
        <w:tc>
          <w:tcPr>
            <w:tcW w:w="2280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393626A2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0.012</w:t>
            </w:r>
          </w:p>
        </w:tc>
      </w:tr>
      <w:tr w:rsidR="000455F9" w:rsidRPr="000455F9" w14:paraId="1C9C4451" w14:textId="77777777" w:rsidTr="000455F9">
        <w:trPr>
          <w:trHeight w:val="315"/>
        </w:trPr>
        <w:tc>
          <w:tcPr>
            <w:tcW w:w="2954" w:type="dxa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7C54731" w14:textId="77777777" w:rsidR="000455F9" w:rsidRPr="000455F9" w:rsidRDefault="000455F9" w:rsidP="000455F9">
            <w:pPr>
              <w:widowControl/>
              <w:jc w:val="right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CTX (ng/mL)</w:t>
            </w:r>
          </w:p>
        </w:tc>
        <w:tc>
          <w:tcPr>
            <w:tcW w:w="2180" w:type="dxa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648FA3E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0.32 ± 0.08</w:t>
            </w:r>
          </w:p>
        </w:tc>
        <w:tc>
          <w:tcPr>
            <w:tcW w:w="2500" w:type="dxa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8B4F563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0.65 ± 0.15</w:t>
            </w:r>
          </w:p>
        </w:tc>
        <w:tc>
          <w:tcPr>
            <w:tcW w:w="2280" w:type="dxa"/>
            <w:tcBorders>
              <w:top w:val="nil"/>
              <w:bottom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136C124" w14:textId="77777777" w:rsidR="000455F9" w:rsidRPr="000455F9" w:rsidRDefault="000455F9" w:rsidP="000455F9">
            <w:pPr>
              <w:widowControl/>
              <w:jc w:val="center"/>
              <w:rPr>
                <w:rFonts w:eastAsia="宋体"/>
                <w:color w:val="000000"/>
                <w:sz w:val="20"/>
                <w:szCs w:val="20"/>
              </w:rPr>
            </w:pPr>
            <w:r w:rsidRPr="000455F9">
              <w:rPr>
                <w:rFonts w:eastAsia="宋体"/>
                <w:color w:val="000000"/>
                <w:sz w:val="20"/>
                <w:szCs w:val="20"/>
              </w:rPr>
              <w:t>0.003</w:t>
            </w:r>
          </w:p>
        </w:tc>
      </w:tr>
    </w:tbl>
    <w:p w14:paraId="7BAACD78" w14:textId="77777777" w:rsidR="000455F9" w:rsidRDefault="000455F9">
      <w:pPr>
        <w:pBdr>
          <w:top w:val="nil"/>
          <w:left w:val="nil"/>
          <w:bottom w:val="nil"/>
          <w:right w:val="nil"/>
          <w:between w:val="nil"/>
        </w:pBdr>
        <w:spacing w:before="240" w:after="150" w:line="275" w:lineRule="auto"/>
        <w:rPr>
          <w:color w:val="1F1F1F"/>
        </w:rPr>
      </w:pPr>
    </w:p>
    <w:sectPr w:rsidR="000455F9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0A911FD1-16D4-42BF-A230-B8BD19CADC8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D74C8E6D-F3EF-400E-8BF5-1D216CE5811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906D3CB-842A-454F-BB80-BFA1B6C9652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DC35930"/>
    <w:multiLevelType w:val="multilevel"/>
    <w:tmpl w:val="879836C6"/>
    <w:lvl w:ilvl="0">
      <w:start w:val="1"/>
      <w:numFmt w:val="bullet"/>
      <w:lvlText w:val="●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5DC76681"/>
    <w:multiLevelType w:val="multilevel"/>
    <w:tmpl w:val="6C0A2E84"/>
    <w:lvl w:ilvl="0">
      <w:start w:val="1"/>
      <w:numFmt w:val="decimal"/>
      <w:lvlText w:val="%1.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60770C67"/>
    <w:multiLevelType w:val="multilevel"/>
    <w:tmpl w:val="EB6AFE7E"/>
    <w:lvl w:ilvl="0">
      <w:start w:val="1"/>
      <w:numFmt w:val="bullet"/>
      <w:lvlText w:val="●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7E17"/>
    <w:rsid w:val="000455F9"/>
    <w:rsid w:val="00045FDE"/>
    <w:rsid w:val="0051663A"/>
    <w:rsid w:val="007D2BB0"/>
    <w:rsid w:val="008A7E17"/>
    <w:rsid w:val="00FE7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CA48DA"/>
  <w15:docId w15:val="{F14866F4-627C-425B-98A7-4A3C7B77CA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EastAsia" w:hAnsi="Arial" w:cs="Arial"/>
        <w:sz w:val="22"/>
        <w:szCs w:val="22"/>
        <w:lang w:val="en-US" w:eastAsia="zh-CN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994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299</Words>
  <Characters>1949</Characters>
  <Application>Microsoft Office Word</Application>
  <DocSecurity>0</DocSecurity>
  <Lines>33</Lines>
  <Paragraphs>6</Paragraphs>
  <ScaleCrop>false</ScaleCrop>
  <Company/>
  <LinksUpToDate>false</LinksUpToDate>
  <CharactersWithSpaces>2242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5</cp:revision>
  <cp:lastPrinted>2026-04-20T02:12:00Z</cp:lastPrinted>
  <dcterms:created xsi:type="dcterms:W3CDTF">2026-04-16T13:41:00Z</dcterms:created>
  <dcterms:modified xsi:type="dcterms:W3CDTF">2026-04-20T02:12:00Z</dcterms:modified>
</cp:coreProperties>
</file>